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2A9" w:rsidRPr="00687569" w:rsidRDefault="00AD66D9" w:rsidP="00687569">
      <w:pPr>
        <w:jc w:val="center"/>
        <w:rPr>
          <w:b/>
          <w:bCs/>
          <w:sz w:val="48"/>
          <w:szCs w:val="48"/>
        </w:rPr>
      </w:pPr>
      <w:bookmarkStart w:id="0" w:name="_Toc436061663"/>
      <w:r>
        <w:rPr>
          <w:b/>
          <w:bCs/>
          <w:sz w:val="48"/>
          <w:szCs w:val="48"/>
        </w:rPr>
        <w:t>Mimoriadna v</w:t>
      </w:r>
      <w:r w:rsidR="00A21E7E" w:rsidRPr="00687569">
        <w:rPr>
          <w:b/>
          <w:bCs/>
          <w:sz w:val="48"/>
          <w:szCs w:val="48"/>
        </w:rPr>
        <w:t>ýzva</w:t>
      </w:r>
      <w:bookmarkEnd w:id="0"/>
      <w:r w:rsidR="00A21E7E" w:rsidRPr="00687569">
        <w:rPr>
          <w:b/>
          <w:bCs/>
          <w:sz w:val="48"/>
          <w:szCs w:val="48"/>
        </w:rPr>
        <w:t xml:space="preserve"> č. </w:t>
      </w:r>
      <w:r>
        <w:rPr>
          <w:b/>
          <w:bCs/>
          <w:sz w:val="48"/>
          <w:szCs w:val="48"/>
        </w:rPr>
        <w:t>1</w:t>
      </w:r>
      <w:r w:rsidR="00484DEC">
        <w:rPr>
          <w:b/>
          <w:bCs/>
          <w:sz w:val="48"/>
          <w:szCs w:val="48"/>
        </w:rPr>
        <w:t xml:space="preserve"> </w:t>
      </w:r>
      <w:r w:rsidR="00BB70A2" w:rsidRPr="00687569">
        <w:rPr>
          <w:b/>
          <w:bCs/>
          <w:sz w:val="48"/>
          <w:szCs w:val="48"/>
        </w:rPr>
        <w:t xml:space="preserve"> / 201</w:t>
      </w:r>
      <w:r w:rsidR="00A7563D">
        <w:rPr>
          <w:b/>
          <w:bCs/>
          <w:sz w:val="48"/>
          <w:szCs w:val="48"/>
        </w:rPr>
        <w:t>9</w:t>
      </w:r>
      <w:r w:rsidR="00A21E7E" w:rsidRPr="00687569">
        <w:rPr>
          <w:b/>
          <w:bCs/>
          <w:sz w:val="48"/>
          <w:szCs w:val="48"/>
        </w:rPr>
        <w:t xml:space="preserve"> Fondu na podporu umenia</w:t>
      </w:r>
    </w:p>
    <w:p w:rsidR="00CA3A11" w:rsidRPr="00B819C1" w:rsidRDefault="00A21E7E">
      <w:r w:rsidRPr="00A21E7E">
        <w:t xml:space="preserve">Fond na podporu umenia (ďalej len „fond“) v súlade s ustanoveniami zákona č. 284/2014 Z. z. o Fonde na podporu umenia a o zmene a doplnení zákona </w:t>
      </w:r>
      <w:r>
        <w:br/>
      </w:r>
      <w:r w:rsidRPr="00A21E7E">
        <w:t>č. 434/2010 Z. z o poskytovaní dotácií v pôsobnosti Ministerstva kultúry Slovenskej republiky v znení zákona č. 79/2013 Z. z. (ďalej len „zákon“) vyhlasuje</w:t>
      </w:r>
      <w:r w:rsidRPr="00A21E7E">
        <w:rPr>
          <w:b/>
          <w:bCs/>
        </w:rPr>
        <w:t xml:space="preserve"> výzvu</w:t>
      </w:r>
      <w:r w:rsidRPr="00A21E7E">
        <w:t xml:space="preserve"> na predkladanie žiadostí o</w:t>
      </w:r>
      <w:r w:rsidR="005E1B4A">
        <w:t> finančnú podporu</w:t>
      </w:r>
      <w:bookmarkStart w:id="1" w:name="_GoBack"/>
      <w:bookmarkEnd w:id="1"/>
      <w:r w:rsidRPr="00A21E7E">
        <w:t xml:space="preserve"> pre oprávnených žiadateľov </w:t>
      </w:r>
      <w:r>
        <w:t>v nasledujúcich podprogramoch</w:t>
      </w:r>
      <w:r w:rsidRPr="00A21E7E">
        <w:t>:</w:t>
      </w:r>
    </w:p>
    <w:tbl>
      <w:tblPr>
        <w:tblStyle w:val="Mriekatabuky8"/>
        <w:tblW w:w="1375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14"/>
        <w:gridCol w:w="5216"/>
        <w:gridCol w:w="1417"/>
        <w:gridCol w:w="1276"/>
        <w:gridCol w:w="1276"/>
        <w:gridCol w:w="1275"/>
        <w:gridCol w:w="1276"/>
      </w:tblGrid>
      <w:tr w:rsidR="00D75340" w:rsidRPr="00D75340" w:rsidTr="0005354E">
        <w:trPr>
          <w:trHeight w:val="196"/>
        </w:trPr>
        <w:tc>
          <w:tcPr>
            <w:tcW w:w="7230" w:type="dxa"/>
            <w:gridSpan w:val="2"/>
            <w:shd w:val="solid" w:color="C6D9F1" w:themeColor="text2" w:themeTint="33" w:fill="auto"/>
            <w:vAlign w:val="center"/>
          </w:tcPr>
          <w:p w:rsidR="006A4597" w:rsidRPr="001F32A9" w:rsidRDefault="006A4597" w:rsidP="00CD48A3">
            <w:pPr>
              <w:jc w:val="center"/>
              <w:rPr>
                <w:sz w:val="20"/>
                <w:szCs w:val="20"/>
              </w:rPr>
            </w:pPr>
            <w:r w:rsidRPr="001F32A9">
              <w:rPr>
                <w:sz w:val="20"/>
                <w:szCs w:val="20"/>
              </w:rPr>
              <w:t>Podprogram</w:t>
            </w:r>
          </w:p>
        </w:tc>
        <w:tc>
          <w:tcPr>
            <w:tcW w:w="1417" w:type="dxa"/>
            <w:shd w:val="solid" w:color="C6D9F1" w:themeColor="text2" w:themeTint="33" w:fill="auto"/>
          </w:tcPr>
          <w:p w:rsidR="006A4597" w:rsidRPr="00CD48A3" w:rsidRDefault="00CD48A3" w:rsidP="00D75340">
            <w:pPr>
              <w:jc w:val="center"/>
              <w:rPr>
                <w:sz w:val="16"/>
                <w:szCs w:val="16"/>
              </w:rPr>
            </w:pPr>
            <w:r w:rsidRPr="00CD48A3">
              <w:rPr>
                <w:bCs/>
                <w:sz w:val="16"/>
                <w:szCs w:val="16"/>
              </w:rPr>
              <w:t>Predbežná suma určená na prerozdelenie v rámci podprogram</w:t>
            </w:r>
            <w:r>
              <w:rPr>
                <w:bCs/>
                <w:sz w:val="16"/>
                <w:szCs w:val="16"/>
              </w:rPr>
              <w:t>u</w:t>
            </w:r>
          </w:p>
        </w:tc>
        <w:tc>
          <w:tcPr>
            <w:tcW w:w="1276" w:type="dxa"/>
            <w:shd w:val="solid" w:color="C6D9F1" w:themeColor="text2" w:themeTint="33" w:fill="auto"/>
          </w:tcPr>
          <w:p w:rsidR="006A4597" w:rsidRPr="00CD48A3" w:rsidRDefault="00CD48A3" w:rsidP="00D75340">
            <w:pPr>
              <w:jc w:val="center"/>
              <w:rPr>
                <w:sz w:val="16"/>
                <w:szCs w:val="16"/>
              </w:rPr>
            </w:pPr>
            <w:r w:rsidRPr="00CD48A3">
              <w:rPr>
                <w:sz w:val="16"/>
                <w:szCs w:val="16"/>
              </w:rPr>
              <w:t>Počet členov odbornej komis</w:t>
            </w:r>
            <w:r>
              <w:rPr>
                <w:sz w:val="16"/>
                <w:szCs w:val="16"/>
              </w:rPr>
              <w:t>i</w:t>
            </w:r>
            <w:r w:rsidRPr="00CD48A3">
              <w:rPr>
                <w:sz w:val="16"/>
                <w:szCs w:val="16"/>
              </w:rPr>
              <w:t xml:space="preserve">e </w:t>
            </w:r>
            <w:r>
              <w:rPr>
                <w:sz w:val="16"/>
                <w:szCs w:val="16"/>
              </w:rPr>
              <w:t>posudzujúcich</w:t>
            </w:r>
            <w:r w:rsidRPr="00CD48A3">
              <w:rPr>
                <w:sz w:val="16"/>
                <w:szCs w:val="16"/>
              </w:rPr>
              <w:t xml:space="preserve"> žiadosti</w:t>
            </w:r>
          </w:p>
        </w:tc>
        <w:tc>
          <w:tcPr>
            <w:tcW w:w="1276" w:type="dxa"/>
            <w:shd w:val="solid" w:color="C6D9F1" w:themeColor="text2" w:themeTint="33" w:fill="auto"/>
            <w:vAlign w:val="center"/>
          </w:tcPr>
          <w:p w:rsidR="006A4597" w:rsidRPr="00CD48A3" w:rsidRDefault="006A4597" w:rsidP="00D75340">
            <w:pPr>
              <w:jc w:val="center"/>
              <w:rPr>
                <w:sz w:val="16"/>
                <w:szCs w:val="16"/>
              </w:rPr>
            </w:pPr>
            <w:r w:rsidRPr="00CD48A3">
              <w:rPr>
                <w:sz w:val="16"/>
                <w:szCs w:val="16"/>
              </w:rPr>
              <w:t>Začiatok</w:t>
            </w:r>
          </w:p>
          <w:p w:rsidR="006A4597" w:rsidRPr="00CD48A3" w:rsidRDefault="00CD48A3" w:rsidP="00D75340">
            <w:pPr>
              <w:jc w:val="center"/>
              <w:rPr>
                <w:sz w:val="16"/>
                <w:szCs w:val="16"/>
              </w:rPr>
            </w:pPr>
            <w:r>
              <w:rPr>
                <w:sz w:val="16"/>
                <w:szCs w:val="16"/>
              </w:rPr>
              <w:t>p</w:t>
            </w:r>
            <w:r w:rsidR="006A4597" w:rsidRPr="00CD48A3">
              <w:rPr>
                <w:sz w:val="16"/>
                <w:szCs w:val="16"/>
              </w:rPr>
              <w:t>redkladania</w:t>
            </w:r>
            <w:r>
              <w:rPr>
                <w:sz w:val="16"/>
                <w:szCs w:val="16"/>
              </w:rPr>
              <w:t xml:space="preserve"> žiadostí</w:t>
            </w:r>
          </w:p>
        </w:tc>
        <w:tc>
          <w:tcPr>
            <w:tcW w:w="1275" w:type="dxa"/>
            <w:shd w:val="solid" w:color="C6D9F1" w:themeColor="text2" w:themeTint="33" w:fill="auto"/>
            <w:vAlign w:val="center"/>
          </w:tcPr>
          <w:p w:rsidR="006A4597" w:rsidRPr="00CD48A3" w:rsidRDefault="006A4597" w:rsidP="00D75340">
            <w:pPr>
              <w:jc w:val="center"/>
              <w:rPr>
                <w:sz w:val="16"/>
                <w:szCs w:val="16"/>
              </w:rPr>
            </w:pPr>
            <w:r w:rsidRPr="00CD48A3">
              <w:rPr>
                <w:sz w:val="16"/>
                <w:szCs w:val="16"/>
              </w:rPr>
              <w:t>Uzávierka predkladania</w:t>
            </w:r>
            <w:r w:rsidR="00CD48A3">
              <w:rPr>
                <w:sz w:val="16"/>
                <w:szCs w:val="16"/>
              </w:rPr>
              <w:t xml:space="preserve"> žiadostí</w:t>
            </w:r>
          </w:p>
        </w:tc>
        <w:tc>
          <w:tcPr>
            <w:tcW w:w="1276" w:type="dxa"/>
            <w:shd w:val="solid" w:color="C6D9F1" w:themeColor="text2" w:themeTint="33" w:fill="auto"/>
            <w:vAlign w:val="center"/>
          </w:tcPr>
          <w:p w:rsidR="006A4597" w:rsidRPr="00CD48A3" w:rsidRDefault="00CD48A3" w:rsidP="00D75340">
            <w:pPr>
              <w:jc w:val="center"/>
              <w:rPr>
                <w:sz w:val="16"/>
                <w:szCs w:val="16"/>
              </w:rPr>
            </w:pPr>
            <w:r>
              <w:rPr>
                <w:sz w:val="16"/>
                <w:szCs w:val="16"/>
              </w:rPr>
              <w:t>Termín zverejnenia</w:t>
            </w:r>
            <w:r w:rsidR="006A4597" w:rsidRPr="00CD48A3">
              <w:rPr>
                <w:sz w:val="16"/>
                <w:szCs w:val="16"/>
              </w:rPr>
              <w:t xml:space="preserve"> rozhodnutia</w:t>
            </w:r>
            <w:r>
              <w:rPr>
                <w:sz w:val="16"/>
                <w:szCs w:val="16"/>
              </w:rPr>
              <w:t xml:space="preserve"> riaditeľa</w:t>
            </w:r>
          </w:p>
        </w:tc>
      </w:tr>
      <w:tr w:rsidR="00AD66D9" w:rsidRPr="001F32A9" w:rsidTr="00697DE2">
        <w:trPr>
          <w:trHeight w:val="246"/>
        </w:trPr>
        <w:tc>
          <w:tcPr>
            <w:tcW w:w="2014" w:type="dxa"/>
            <w:vMerge w:val="restart"/>
            <w:shd w:val="pct10" w:color="auto" w:fill="auto"/>
            <w:vAlign w:val="center"/>
          </w:tcPr>
          <w:p w:rsidR="00AD66D9" w:rsidRPr="00A3298E" w:rsidRDefault="00AD66D9" w:rsidP="00AD66D9">
            <w:pPr>
              <w:jc w:val="center"/>
              <w:rPr>
                <w:bCs/>
                <w:sz w:val="16"/>
                <w:szCs w:val="16"/>
              </w:rPr>
            </w:pPr>
            <w:r>
              <w:rPr>
                <w:bCs/>
                <w:sz w:val="16"/>
                <w:szCs w:val="16"/>
              </w:rPr>
              <w:t xml:space="preserve">4.3 </w:t>
            </w:r>
            <w:r w:rsidRPr="00A3298E">
              <w:rPr>
                <w:bCs/>
                <w:sz w:val="16"/>
                <w:szCs w:val="16"/>
              </w:rPr>
              <w:t>Vznik a prezentácia tvorby – tradičná kultúra</w:t>
            </w:r>
          </w:p>
        </w:tc>
        <w:tc>
          <w:tcPr>
            <w:tcW w:w="5216" w:type="dxa"/>
            <w:tcBorders>
              <w:bottom w:val="single" w:sz="12" w:space="0" w:color="auto"/>
            </w:tcBorders>
            <w:shd w:val="pct10" w:color="auto" w:fill="auto"/>
            <w:vAlign w:val="center"/>
          </w:tcPr>
          <w:p w:rsidR="00AD66D9" w:rsidRPr="00A3298E" w:rsidRDefault="00AD66D9" w:rsidP="00AD66D9">
            <w:pPr>
              <w:rPr>
                <w:sz w:val="16"/>
                <w:szCs w:val="16"/>
              </w:rPr>
            </w:pPr>
            <w:r w:rsidRPr="00A3298E">
              <w:rPr>
                <w:sz w:val="16"/>
                <w:szCs w:val="16"/>
              </w:rPr>
              <w:t>4.3.1 Aktivity nezávislých profesionálnych zoskupení v tradičnej kultúre</w:t>
            </w:r>
          </w:p>
        </w:tc>
        <w:tc>
          <w:tcPr>
            <w:tcW w:w="1417" w:type="dxa"/>
            <w:vMerge w:val="restart"/>
            <w:shd w:val="pct10" w:color="auto" w:fill="auto"/>
            <w:vAlign w:val="center"/>
          </w:tcPr>
          <w:p w:rsidR="00AD66D9" w:rsidRDefault="00AD66D9" w:rsidP="00AD66D9">
            <w:pPr>
              <w:jc w:val="right"/>
              <w:rPr>
                <w:b/>
                <w:sz w:val="20"/>
                <w:szCs w:val="20"/>
              </w:rPr>
            </w:pPr>
            <w:r>
              <w:rPr>
                <w:b/>
                <w:sz w:val="20"/>
                <w:szCs w:val="20"/>
              </w:rPr>
              <w:t>1 500 000 EUR</w:t>
            </w:r>
          </w:p>
        </w:tc>
        <w:tc>
          <w:tcPr>
            <w:tcW w:w="1276" w:type="dxa"/>
            <w:vMerge w:val="restart"/>
            <w:shd w:val="pct10" w:color="auto" w:fill="FFFFFF" w:themeFill="background1"/>
            <w:vAlign w:val="center"/>
          </w:tcPr>
          <w:p w:rsidR="00AD66D9" w:rsidRDefault="00AD66D9" w:rsidP="00AD66D9">
            <w:pPr>
              <w:jc w:val="center"/>
              <w:rPr>
                <w:b/>
                <w:sz w:val="20"/>
                <w:szCs w:val="20"/>
              </w:rPr>
            </w:pPr>
            <w:r>
              <w:rPr>
                <w:b/>
                <w:sz w:val="20"/>
                <w:szCs w:val="20"/>
              </w:rPr>
              <w:t>5</w:t>
            </w:r>
          </w:p>
        </w:tc>
        <w:tc>
          <w:tcPr>
            <w:tcW w:w="1276" w:type="dxa"/>
            <w:vMerge w:val="restart"/>
            <w:vAlign w:val="center"/>
          </w:tcPr>
          <w:p w:rsidR="00AD66D9" w:rsidRPr="00B83C92" w:rsidRDefault="00AD66D9" w:rsidP="00AD66D9">
            <w:pPr>
              <w:rPr>
                <w:b/>
              </w:rPr>
            </w:pPr>
            <w:r>
              <w:rPr>
                <w:b/>
              </w:rPr>
              <w:t>25</w:t>
            </w:r>
            <w:r w:rsidRPr="00B83C92">
              <w:rPr>
                <w:b/>
              </w:rPr>
              <w:t>.</w:t>
            </w:r>
            <w:r>
              <w:rPr>
                <w:b/>
              </w:rPr>
              <w:t>02</w:t>
            </w:r>
            <w:r w:rsidRPr="00B83C92">
              <w:rPr>
                <w:b/>
              </w:rPr>
              <w:t>.201</w:t>
            </w:r>
            <w:r>
              <w:rPr>
                <w:b/>
              </w:rPr>
              <w:t>9</w:t>
            </w:r>
          </w:p>
        </w:tc>
        <w:tc>
          <w:tcPr>
            <w:tcW w:w="1275" w:type="dxa"/>
            <w:vMerge w:val="restart"/>
            <w:shd w:val="pct12" w:color="auto" w:fill="auto"/>
            <w:vAlign w:val="center"/>
          </w:tcPr>
          <w:p w:rsidR="00AD66D9" w:rsidRPr="00B83C92" w:rsidRDefault="00AD66D9" w:rsidP="00AD66D9">
            <w:pPr>
              <w:rPr>
                <w:b/>
              </w:rPr>
            </w:pPr>
            <w:r>
              <w:rPr>
                <w:b/>
              </w:rPr>
              <w:t>25</w:t>
            </w:r>
            <w:r w:rsidRPr="00B83C92">
              <w:rPr>
                <w:b/>
              </w:rPr>
              <w:t>.</w:t>
            </w:r>
            <w:r>
              <w:rPr>
                <w:b/>
              </w:rPr>
              <w:t>03</w:t>
            </w:r>
            <w:r w:rsidRPr="00B83C92">
              <w:rPr>
                <w:b/>
              </w:rPr>
              <w:t>.201</w:t>
            </w:r>
            <w:r>
              <w:rPr>
                <w:b/>
              </w:rPr>
              <w:t>9</w:t>
            </w:r>
          </w:p>
        </w:tc>
        <w:tc>
          <w:tcPr>
            <w:tcW w:w="1276" w:type="dxa"/>
            <w:vMerge w:val="restart"/>
            <w:vAlign w:val="center"/>
          </w:tcPr>
          <w:p w:rsidR="00AD66D9" w:rsidRPr="00B83C92" w:rsidRDefault="00AD66D9" w:rsidP="00AD66D9">
            <w:pPr>
              <w:rPr>
                <w:b/>
              </w:rPr>
            </w:pPr>
            <w:r>
              <w:rPr>
                <w:b/>
              </w:rPr>
              <w:t>23</w:t>
            </w:r>
            <w:r w:rsidRPr="00B83C92">
              <w:rPr>
                <w:b/>
              </w:rPr>
              <w:t>.0</w:t>
            </w:r>
            <w:r>
              <w:rPr>
                <w:b/>
              </w:rPr>
              <w:t>5</w:t>
            </w:r>
            <w:r w:rsidRPr="00B83C92">
              <w:rPr>
                <w:b/>
              </w:rPr>
              <w:t>.2019</w:t>
            </w:r>
          </w:p>
        </w:tc>
      </w:tr>
      <w:tr w:rsidR="00AD66D9" w:rsidRPr="001F32A9" w:rsidTr="001E5BBB">
        <w:trPr>
          <w:trHeight w:val="246"/>
        </w:trPr>
        <w:tc>
          <w:tcPr>
            <w:tcW w:w="2014" w:type="dxa"/>
            <w:vMerge/>
            <w:shd w:val="pct10" w:color="auto" w:fill="auto"/>
          </w:tcPr>
          <w:p w:rsidR="00AD66D9" w:rsidRPr="00A3298E" w:rsidRDefault="00AD66D9" w:rsidP="00AD66D9">
            <w:pPr>
              <w:jc w:val="center"/>
              <w:rPr>
                <w:bCs/>
                <w:sz w:val="16"/>
                <w:szCs w:val="16"/>
              </w:rPr>
            </w:pPr>
          </w:p>
        </w:tc>
        <w:tc>
          <w:tcPr>
            <w:tcW w:w="5216" w:type="dxa"/>
            <w:shd w:val="pct10" w:color="auto" w:fill="auto"/>
            <w:vAlign w:val="center"/>
          </w:tcPr>
          <w:p w:rsidR="00AD66D9" w:rsidRPr="00A3298E" w:rsidRDefault="00AD66D9" w:rsidP="00AD66D9">
            <w:pPr>
              <w:rPr>
                <w:sz w:val="16"/>
                <w:szCs w:val="16"/>
              </w:rPr>
            </w:pPr>
            <w:r w:rsidRPr="00A3298E">
              <w:rPr>
                <w:sz w:val="16"/>
                <w:szCs w:val="16"/>
              </w:rPr>
              <w:t>4.3.2 Aktivity nezávislých neprofesionálnych zoskupení v tradičnej kultúre</w:t>
            </w:r>
          </w:p>
        </w:tc>
        <w:tc>
          <w:tcPr>
            <w:tcW w:w="1417" w:type="dxa"/>
            <w:vMerge/>
            <w:shd w:val="clear" w:color="auto" w:fill="auto"/>
            <w:vAlign w:val="center"/>
          </w:tcPr>
          <w:p w:rsidR="00AD66D9" w:rsidRDefault="00AD66D9" w:rsidP="00AD66D9">
            <w:pPr>
              <w:jc w:val="right"/>
              <w:rPr>
                <w:b/>
                <w:sz w:val="20"/>
                <w:szCs w:val="20"/>
              </w:rPr>
            </w:pPr>
          </w:p>
        </w:tc>
        <w:tc>
          <w:tcPr>
            <w:tcW w:w="1276" w:type="dxa"/>
            <w:vMerge/>
            <w:shd w:val="pct10" w:color="auto" w:fill="FFFFFF" w:themeFill="background1"/>
            <w:vAlign w:val="center"/>
          </w:tcPr>
          <w:p w:rsidR="00AD66D9" w:rsidRDefault="00AD66D9" w:rsidP="00AD66D9">
            <w:pPr>
              <w:jc w:val="center"/>
              <w:rPr>
                <w:b/>
                <w:sz w:val="20"/>
                <w:szCs w:val="20"/>
              </w:rPr>
            </w:pPr>
          </w:p>
        </w:tc>
        <w:tc>
          <w:tcPr>
            <w:tcW w:w="1276" w:type="dxa"/>
            <w:vMerge/>
          </w:tcPr>
          <w:p w:rsidR="00AD66D9" w:rsidRPr="001F32A9" w:rsidRDefault="00AD66D9" w:rsidP="00AD66D9">
            <w:pPr>
              <w:rPr>
                <w:sz w:val="20"/>
                <w:szCs w:val="20"/>
              </w:rPr>
            </w:pPr>
          </w:p>
        </w:tc>
        <w:tc>
          <w:tcPr>
            <w:tcW w:w="1275" w:type="dxa"/>
            <w:vMerge/>
            <w:shd w:val="pct12" w:color="auto" w:fill="auto"/>
          </w:tcPr>
          <w:p w:rsidR="00AD66D9" w:rsidRPr="001F32A9" w:rsidRDefault="00AD66D9" w:rsidP="00AD66D9">
            <w:pPr>
              <w:rPr>
                <w:sz w:val="20"/>
                <w:szCs w:val="20"/>
              </w:rPr>
            </w:pPr>
          </w:p>
        </w:tc>
        <w:tc>
          <w:tcPr>
            <w:tcW w:w="1276" w:type="dxa"/>
            <w:vMerge/>
          </w:tcPr>
          <w:p w:rsidR="00AD66D9" w:rsidRPr="001F32A9" w:rsidRDefault="00AD66D9" w:rsidP="00AD66D9">
            <w:pPr>
              <w:rPr>
                <w:sz w:val="20"/>
                <w:szCs w:val="20"/>
              </w:rPr>
            </w:pPr>
          </w:p>
        </w:tc>
      </w:tr>
      <w:tr w:rsidR="00AD66D9" w:rsidRPr="001F32A9" w:rsidTr="001E5BBB">
        <w:trPr>
          <w:trHeight w:val="246"/>
        </w:trPr>
        <w:tc>
          <w:tcPr>
            <w:tcW w:w="2014" w:type="dxa"/>
            <w:vMerge/>
            <w:shd w:val="pct10" w:color="auto" w:fill="auto"/>
          </w:tcPr>
          <w:p w:rsidR="00AD66D9" w:rsidRPr="00A3298E" w:rsidRDefault="00AD66D9" w:rsidP="00AD66D9">
            <w:pPr>
              <w:jc w:val="center"/>
              <w:rPr>
                <w:bCs/>
                <w:sz w:val="16"/>
                <w:szCs w:val="16"/>
              </w:rPr>
            </w:pPr>
          </w:p>
        </w:tc>
        <w:tc>
          <w:tcPr>
            <w:tcW w:w="5216" w:type="dxa"/>
            <w:shd w:val="pct10" w:color="auto" w:fill="auto"/>
            <w:vAlign w:val="center"/>
          </w:tcPr>
          <w:p w:rsidR="00AD66D9" w:rsidRPr="00A3298E" w:rsidRDefault="00AD66D9" w:rsidP="00AD66D9">
            <w:pPr>
              <w:rPr>
                <w:bCs/>
                <w:sz w:val="16"/>
                <w:szCs w:val="16"/>
              </w:rPr>
            </w:pPr>
            <w:r w:rsidRPr="00A3298E">
              <w:rPr>
                <w:bCs/>
                <w:sz w:val="16"/>
                <w:szCs w:val="16"/>
              </w:rPr>
              <w:t>4.3.3 Tvorba, realizácia a interpretácia diel – tradičná kultúra</w:t>
            </w:r>
          </w:p>
        </w:tc>
        <w:tc>
          <w:tcPr>
            <w:tcW w:w="1417" w:type="dxa"/>
            <w:vMerge/>
            <w:shd w:val="clear" w:color="auto" w:fill="auto"/>
            <w:vAlign w:val="center"/>
          </w:tcPr>
          <w:p w:rsidR="00AD66D9" w:rsidRDefault="00AD66D9" w:rsidP="00AD66D9">
            <w:pPr>
              <w:jc w:val="right"/>
              <w:rPr>
                <w:b/>
                <w:sz w:val="20"/>
                <w:szCs w:val="20"/>
              </w:rPr>
            </w:pPr>
          </w:p>
        </w:tc>
        <w:tc>
          <w:tcPr>
            <w:tcW w:w="1276" w:type="dxa"/>
            <w:vMerge/>
            <w:shd w:val="pct10" w:color="auto" w:fill="FFFFFF" w:themeFill="background1"/>
            <w:vAlign w:val="center"/>
          </w:tcPr>
          <w:p w:rsidR="00AD66D9" w:rsidRDefault="00AD66D9" w:rsidP="00AD66D9">
            <w:pPr>
              <w:jc w:val="center"/>
              <w:rPr>
                <w:b/>
                <w:sz w:val="20"/>
                <w:szCs w:val="20"/>
              </w:rPr>
            </w:pPr>
          </w:p>
        </w:tc>
        <w:tc>
          <w:tcPr>
            <w:tcW w:w="1276" w:type="dxa"/>
            <w:vMerge/>
          </w:tcPr>
          <w:p w:rsidR="00AD66D9" w:rsidRPr="001F32A9" w:rsidRDefault="00AD66D9" w:rsidP="00AD66D9">
            <w:pPr>
              <w:rPr>
                <w:sz w:val="20"/>
                <w:szCs w:val="20"/>
              </w:rPr>
            </w:pPr>
          </w:p>
        </w:tc>
        <w:tc>
          <w:tcPr>
            <w:tcW w:w="1275" w:type="dxa"/>
            <w:vMerge/>
            <w:shd w:val="pct12" w:color="auto" w:fill="auto"/>
          </w:tcPr>
          <w:p w:rsidR="00AD66D9" w:rsidRPr="001F32A9" w:rsidRDefault="00AD66D9" w:rsidP="00AD66D9">
            <w:pPr>
              <w:rPr>
                <w:sz w:val="20"/>
                <w:szCs w:val="20"/>
              </w:rPr>
            </w:pPr>
          </w:p>
        </w:tc>
        <w:tc>
          <w:tcPr>
            <w:tcW w:w="1276" w:type="dxa"/>
            <w:vMerge/>
          </w:tcPr>
          <w:p w:rsidR="00AD66D9" w:rsidRPr="001F32A9" w:rsidRDefault="00AD66D9" w:rsidP="00AD66D9">
            <w:pPr>
              <w:rPr>
                <w:sz w:val="20"/>
                <w:szCs w:val="20"/>
              </w:rPr>
            </w:pPr>
          </w:p>
        </w:tc>
      </w:tr>
    </w:tbl>
    <w:p w:rsidR="001F32A9" w:rsidRDefault="001F32A9" w:rsidP="0084294D">
      <w:pPr>
        <w:spacing w:after="0"/>
        <w:jc w:val="both"/>
      </w:pPr>
    </w:p>
    <w:p w:rsidR="00B83C92" w:rsidRDefault="00B83C92" w:rsidP="00B83C92">
      <w:pPr>
        <w:spacing w:after="0"/>
        <w:jc w:val="both"/>
      </w:pPr>
      <w:r>
        <w:t>Bližšie informácie k jednotlivým podprogramom Štruktúry podpornej činnosti na rok 2019 nájdete na webovom sídle fondu v časti Dokumenty – predpisy upravujúce podpornú činnosť:</w:t>
      </w:r>
      <w:r w:rsidRPr="0001502B">
        <w:t xml:space="preserve"> </w:t>
      </w:r>
      <w:hyperlink r:id="rId7" w:history="1">
        <w:r w:rsidRPr="00477C37">
          <w:rPr>
            <w:rStyle w:val="Hypertextovprepojenie"/>
          </w:rPr>
          <w:t>http://fpu.sk/dokumenty-fpu/dokumenty</w:t>
        </w:r>
      </w:hyperlink>
      <w:r>
        <w:t>.</w:t>
      </w:r>
    </w:p>
    <w:p w:rsidR="00B83C92" w:rsidRPr="00BC5924" w:rsidRDefault="00B83C92" w:rsidP="00B83C92">
      <w:pPr>
        <w:spacing w:after="120"/>
        <w:jc w:val="both"/>
        <w:rPr>
          <w:spacing w:val="-2"/>
        </w:rPr>
      </w:pPr>
      <w:r w:rsidRPr="00BC5924">
        <w:rPr>
          <w:spacing w:val="-2"/>
        </w:rPr>
        <w:t>Žiadateľ je povinný podať žiadosť elektronicky prostredníctvom registračného systému FPU</w:t>
      </w:r>
      <w:r>
        <w:rPr>
          <w:spacing w:val="-2"/>
        </w:rPr>
        <w:t>. V</w:t>
      </w:r>
      <w:r w:rsidRPr="00BC5924">
        <w:rPr>
          <w:spacing w:val="-2"/>
        </w:rPr>
        <w:t> posledný deň výzvy</w:t>
      </w:r>
      <w:r>
        <w:rPr>
          <w:spacing w:val="-2"/>
        </w:rPr>
        <w:t xml:space="preserve"> je registračný systém otvorený</w:t>
      </w:r>
      <w:r w:rsidRPr="00BC5924">
        <w:rPr>
          <w:spacing w:val="-2"/>
        </w:rPr>
        <w:t xml:space="preserve"> do </w:t>
      </w:r>
      <w:r w:rsidRPr="00DC135B">
        <w:rPr>
          <w:b/>
          <w:spacing w:val="-2"/>
          <w:sz w:val="28"/>
          <w:szCs w:val="28"/>
        </w:rPr>
        <w:t>15:00 hod.</w:t>
      </w:r>
      <w:r w:rsidRPr="00BC5924">
        <w:rPr>
          <w:spacing w:val="-2"/>
        </w:rPr>
        <w:t xml:space="preserve"> stredoeurópskeho času (SEČ). Po elektronickom podaní žiadosti </w:t>
      </w:r>
      <w:r>
        <w:rPr>
          <w:spacing w:val="-2"/>
        </w:rPr>
        <w:t>je potrebné</w:t>
      </w:r>
      <w:r w:rsidRPr="00BC5924">
        <w:rPr>
          <w:spacing w:val="-2"/>
        </w:rPr>
        <w:t xml:space="preserve"> doruč</w:t>
      </w:r>
      <w:r>
        <w:rPr>
          <w:spacing w:val="-2"/>
        </w:rPr>
        <w:t>iť</w:t>
      </w:r>
      <w:r w:rsidRPr="00BC5924">
        <w:rPr>
          <w:spacing w:val="-2"/>
        </w:rPr>
        <w:t xml:space="preserve"> kompletn</w:t>
      </w:r>
      <w:r>
        <w:rPr>
          <w:spacing w:val="-2"/>
        </w:rPr>
        <w:t>ú</w:t>
      </w:r>
      <w:r w:rsidRPr="00BC5924">
        <w:rPr>
          <w:spacing w:val="-2"/>
        </w:rPr>
        <w:t xml:space="preserve"> žiados</w:t>
      </w:r>
      <w:r>
        <w:rPr>
          <w:spacing w:val="-2"/>
        </w:rPr>
        <w:t>ť</w:t>
      </w:r>
      <w:r w:rsidRPr="00BC5924">
        <w:rPr>
          <w:spacing w:val="-2"/>
        </w:rPr>
        <w:t xml:space="preserve"> spolu s povinnými dokladmi </w:t>
      </w:r>
      <w:r w:rsidRPr="00BC5924">
        <w:rPr>
          <w:b/>
          <w:spacing w:val="-2"/>
        </w:rPr>
        <w:t>najneskôr do termínu uzávierky</w:t>
      </w:r>
      <w:r>
        <w:rPr>
          <w:b/>
          <w:spacing w:val="-2"/>
        </w:rPr>
        <w:t xml:space="preserve"> predkladania žiadostí</w:t>
      </w:r>
      <w:r w:rsidRPr="00BB6F02">
        <w:rPr>
          <w:spacing w:val="-2"/>
        </w:rPr>
        <w:t xml:space="preserve"> (</w:t>
      </w:r>
      <w:r>
        <w:rPr>
          <w:spacing w:val="-2"/>
        </w:rPr>
        <w:t>viď</w:t>
      </w:r>
      <w:r w:rsidRPr="00BB6F02">
        <w:rPr>
          <w:spacing w:val="-2"/>
        </w:rPr>
        <w:t xml:space="preserve"> </w:t>
      </w:r>
      <w:r>
        <w:rPr>
          <w:spacing w:val="-2"/>
        </w:rPr>
        <w:t>t</w:t>
      </w:r>
      <w:r w:rsidRPr="00BB6F02">
        <w:rPr>
          <w:spacing w:val="-2"/>
        </w:rPr>
        <w:t>abuľk</w:t>
      </w:r>
      <w:r>
        <w:rPr>
          <w:spacing w:val="-2"/>
        </w:rPr>
        <w:t>a</w:t>
      </w:r>
      <w:r w:rsidRPr="00BB6F02">
        <w:rPr>
          <w:spacing w:val="-2"/>
        </w:rPr>
        <w:t>)</w:t>
      </w:r>
      <w:r w:rsidRPr="00BC5924">
        <w:rPr>
          <w:spacing w:val="-2"/>
        </w:rPr>
        <w:t xml:space="preserve"> jedným z nasledujúcich spôsobov:</w:t>
      </w:r>
    </w:p>
    <w:p w:rsidR="00B83C92" w:rsidRPr="00BC5924" w:rsidRDefault="00B83C92" w:rsidP="00B83C92">
      <w:pPr>
        <w:numPr>
          <w:ilvl w:val="0"/>
          <w:numId w:val="1"/>
        </w:numPr>
        <w:spacing w:after="0"/>
        <w:jc w:val="both"/>
        <w:rPr>
          <w:spacing w:val="-2"/>
        </w:rPr>
      </w:pPr>
      <w:r w:rsidRPr="00BC5924">
        <w:rPr>
          <w:spacing w:val="-2"/>
        </w:rPr>
        <w:t>Osobne, doručením do kancelárie FPU v čase od 13:00 do 15:00 hod.</w:t>
      </w:r>
    </w:p>
    <w:p w:rsidR="00B83C92" w:rsidRDefault="00B83C92" w:rsidP="00B83C92">
      <w:pPr>
        <w:numPr>
          <w:ilvl w:val="0"/>
          <w:numId w:val="1"/>
        </w:numPr>
        <w:spacing w:after="0"/>
        <w:jc w:val="both"/>
        <w:rPr>
          <w:spacing w:val="-2"/>
        </w:rPr>
      </w:pPr>
      <w:r w:rsidRPr="00BC5924">
        <w:rPr>
          <w:spacing w:val="-2"/>
        </w:rPr>
        <w:t>V elektronickej podobe prostredníctvom Ústredného portálu verejnej správy</w:t>
      </w:r>
      <w:r>
        <w:rPr>
          <w:spacing w:val="-2"/>
        </w:rPr>
        <w:t xml:space="preserve"> podľa</w:t>
      </w:r>
      <w:r w:rsidRPr="00BC5924">
        <w:rPr>
          <w:spacing w:val="-2"/>
        </w:rPr>
        <w:t> </w:t>
      </w:r>
      <w:hyperlink r:id="rId8" w:history="1">
        <w:r w:rsidRPr="00BC5924">
          <w:rPr>
            <w:rStyle w:val="Hypertextovprepojenie"/>
            <w:spacing w:val="-2"/>
          </w:rPr>
          <w:t>Pokyno</w:t>
        </w:r>
        <w:r>
          <w:rPr>
            <w:rStyle w:val="Hypertextovprepojenie"/>
            <w:spacing w:val="-2"/>
          </w:rPr>
          <w:t>v</w:t>
        </w:r>
        <w:r w:rsidRPr="00BC5924">
          <w:rPr>
            <w:rStyle w:val="Hypertextovprepojenie"/>
            <w:spacing w:val="-2"/>
          </w:rPr>
          <w:t xml:space="preserve"> k podaniu k elektronickej žiadosti FPU.</w:t>
        </w:r>
      </w:hyperlink>
      <w:r w:rsidRPr="00BC5924">
        <w:rPr>
          <w:spacing w:val="-2"/>
        </w:rPr>
        <w:t> </w:t>
      </w:r>
    </w:p>
    <w:p w:rsidR="00B83C92" w:rsidRPr="00BC5924" w:rsidRDefault="00B83C92" w:rsidP="00B83C92">
      <w:pPr>
        <w:pStyle w:val="Odsekzoznamu"/>
        <w:numPr>
          <w:ilvl w:val="0"/>
          <w:numId w:val="1"/>
        </w:numPr>
        <w:spacing w:after="120"/>
        <w:contextualSpacing w:val="0"/>
        <w:rPr>
          <w:spacing w:val="-2"/>
        </w:rPr>
      </w:pPr>
      <w:r w:rsidRPr="00BC5924">
        <w:rPr>
          <w:spacing w:val="-2"/>
        </w:rPr>
        <w:t>Zaslaním na adresu FPU (rozhodujúci je dátum uvedený na poštovej pečiatke)</w:t>
      </w:r>
      <w:r>
        <w:rPr>
          <w:spacing w:val="-2"/>
        </w:rPr>
        <w:t>:</w:t>
      </w:r>
    </w:p>
    <w:p w:rsidR="00B83C92" w:rsidRDefault="00B83C92" w:rsidP="00B83C92">
      <w:pPr>
        <w:spacing w:after="0" w:line="240" w:lineRule="auto"/>
        <w:ind w:left="4247" w:firstLine="709"/>
        <w:jc w:val="both"/>
        <w:rPr>
          <w:rFonts w:ascii="Calibri" w:eastAsia="Calibri" w:hAnsi="Calibri" w:cs="Times New Roman"/>
          <w:b/>
          <w:bCs/>
        </w:rPr>
      </w:pPr>
      <w:r>
        <w:rPr>
          <w:rFonts w:ascii="Calibri" w:eastAsia="Calibri" w:hAnsi="Calibri" w:cs="Times New Roman"/>
          <w:b/>
          <w:bCs/>
        </w:rPr>
        <w:t>Fond na podporu umenia</w:t>
      </w:r>
      <w:r w:rsidRPr="00A21E7E">
        <w:rPr>
          <w:rFonts w:ascii="Calibri" w:eastAsia="Calibri" w:hAnsi="Calibri" w:cs="Times New Roman"/>
          <w:b/>
          <w:bCs/>
        </w:rPr>
        <w:t xml:space="preserve"> </w:t>
      </w:r>
    </w:p>
    <w:p w:rsidR="00B83C92" w:rsidRDefault="00B83C92" w:rsidP="00B83C92">
      <w:pPr>
        <w:spacing w:after="0" w:line="240" w:lineRule="auto"/>
        <w:ind w:left="4247" w:firstLine="709"/>
        <w:jc w:val="both"/>
        <w:rPr>
          <w:rFonts w:ascii="Calibri" w:eastAsia="Calibri" w:hAnsi="Calibri" w:cs="Times New Roman"/>
          <w:b/>
          <w:bCs/>
        </w:rPr>
      </w:pPr>
      <w:r>
        <w:rPr>
          <w:rFonts w:ascii="Calibri" w:eastAsia="Calibri" w:hAnsi="Calibri" w:cs="Times New Roman"/>
          <w:b/>
          <w:bCs/>
        </w:rPr>
        <w:t>Cukrová 14</w:t>
      </w:r>
    </w:p>
    <w:p w:rsidR="00B83C92" w:rsidRDefault="00B83C92" w:rsidP="00B83C92">
      <w:pPr>
        <w:spacing w:after="120"/>
        <w:ind w:left="4247" w:firstLine="709"/>
        <w:jc w:val="both"/>
        <w:rPr>
          <w:rFonts w:ascii="Calibri" w:eastAsia="Calibri" w:hAnsi="Calibri" w:cs="Times New Roman"/>
          <w:bCs/>
        </w:rPr>
      </w:pPr>
      <w:r w:rsidRPr="00A21E7E">
        <w:rPr>
          <w:rFonts w:ascii="Calibri" w:eastAsia="Calibri" w:hAnsi="Calibri" w:cs="Times New Roman"/>
          <w:b/>
          <w:bCs/>
        </w:rPr>
        <w:t>811 08 Bratislava</w:t>
      </w:r>
      <w:r>
        <w:rPr>
          <w:rFonts w:ascii="Calibri" w:eastAsia="Calibri" w:hAnsi="Calibri" w:cs="Times New Roman"/>
          <w:bCs/>
        </w:rPr>
        <w:t xml:space="preserve"> </w:t>
      </w:r>
    </w:p>
    <w:p w:rsidR="00B83C92" w:rsidRDefault="00B83C92" w:rsidP="00B83C92">
      <w:pPr>
        <w:spacing w:after="120"/>
        <w:jc w:val="both"/>
        <w:rPr>
          <w:bCs/>
          <w:spacing w:val="-2"/>
        </w:rPr>
      </w:pPr>
      <w:r w:rsidRPr="00CA3A11">
        <w:rPr>
          <w:bCs/>
          <w:spacing w:val="-2"/>
        </w:rPr>
        <w:t xml:space="preserve">Na obálku je potrebné napísať číslo programu/podprogramu. </w:t>
      </w:r>
      <w:r w:rsidRPr="00E257B6">
        <w:rPr>
          <w:bCs/>
          <w:spacing w:val="-2"/>
        </w:rPr>
        <w:t>Podrobn</w:t>
      </w:r>
      <w:r>
        <w:rPr>
          <w:bCs/>
          <w:spacing w:val="-2"/>
        </w:rPr>
        <w:t>é</w:t>
      </w:r>
      <w:r w:rsidRPr="00E257B6">
        <w:rPr>
          <w:bCs/>
          <w:spacing w:val="-2"/>
        </w:rPr>
        <w:t xml:space="preserve"> informácie</w:t>
      </w:r>
      <w:r>
        <w:rPr>
          <w:bCs/>
          <w:spacing w:val="-2"/>
        </w:rPr>
        <w:t xml:space="preserve"> a zoznam povinných dokladov </w:t>
      </w:r>
      <w:r w:rsidRPr="00E257B6">
        <w:rPr>
          <w:bCs/>
          <w:spacing w:val="-2"/>
        </w:rPr>
        <w:t>nájdete v </w:t>
      </w:r>
      <w:hyperlink r:id="rId9" w:history="1">
        <w:r w:rsidRPr="00E257B6">
          <w:rPr>
            <w:rStyle w:val="Hypertextovprepojenie"/>
            <w:bCs/>
            <w:spacing w:val="-2"/>
          </w:rPr>
          <w:t>Zásadách poskytovania prostriedkov</w:t>
        </w:r>
      </w:hyperlink>
      <w:r w:rsidRPr="00E257B6">
        <w:rPr>
          <w:bCs/>
          <w:spacing w:val="-2"/>
        </w:rPr>
        <w:t>.</w:t>
      </w:r>
    </w:p>
    <w:p w:rsidR="00B83C92" w:rsidRPr="00CA3A11" w:rsidRDefault="00B83C92" w:rsidP="00B83C92">
      <w:pPr>
        <w:spacing w:after="120"/>
        <w:jc w:val="both"/>
        <w:rPr>
          <w:bCs/>
          <w:spacing w:val="-2"/>
        </w:rPr>
      </w:pPr>
      <w:r w:rsidRPr="00CA3A11">
        <w:rPr>
          <w:bCs/>
          <w:spacing w:val="-2"/>
        </w:rPr>
        <w:t>Prílohy k žiadosti (ak nie je v Štruktúre podpornej činnosti FPU na rok 201</w:t>
      </w:r>
      <w:r>
        <w:rPr>
          <w:bCs/>
          <w:spacing w:val="-2"/>
        </w:rPr>
        <w:t>9</w:t>
      </w:r>
      <w:r w:rsidRPr="00CA3A11">
        <w:rPr>
          <w:bCs/>
          <w:spacing w:val="-2"/>
        </w:rPr>
        <w:t xml:space="preserve"> pre daný podprogram uvedené inak), sa predkladajú </w:t>
      </w:r>
      <w:r w:rsidRPr="00CA3A11">
        <w:rPr>
          <w:b/>
          <w:bCs/>
          <w:spacing w:val="-2"/>
        </w:rPr>
        <w:t>výlučne v elektronickej podobe</w:t>
      </w:r>
      <w:r w:rsidRPr="00CA3A11">
        <w:rPr>
          <w:bCs/>
          <w:spacing w:val="-2"/>
        </w:rPr>
        <w:t xml:space="preserve"> v registračnom systéme. Prílohy musia mať celkovo maximálne 10 MB, pričom každý žiadateľ môže priložiť maximálne 5 samostatných textových príloh (spolu to </w:t>
      </w:r>
      <w:r w:rsidRPr="00CA3A11">
        <w:rPr>
          <w:bCs/>
          <w:spacing w:val="-2"/>
        </w:rPr>
        <w:lastRenderedPageBreak/>
        <w:t xml:space="preserve">môže byť maximálne 20 strán textu) a 10 samostatných obrazových príloh (môžu to byť samostatné obrázky, alebo súbory obrázkov). Registračný systém FPU podporuje nasledujúce formáty textových súborov: </w:t>
      </w:r>
      <w:proofErr w:type="spellStart"/>
      <w:r w:rsidRPr="00CA3A11">
        <w:rPr>
          <w:bCs/>
          <w:spacing w:val="-2"/>
        </w:rPr>
        <w:t>Portable</w:t>
      </w:r>
      <w:proofErr w:type="spellEnd"/>
      <w:r w:rsidRPr="00CA3A11">
        <w:rPr>
          <w:bCs/>
          <w:spacing w:val="-2"/>
        </w:rPr>
        <w:t xml:space="preserve"> </w:t>
      </w:r>
      <w:proofErr w:type="spellStart"/>
      <w:r w:rsidRPr="00CA3A11">
        <w:rPr>
          <w:bCs/>
          <w:spacing w:val="-2"/>
        </w:rPr>
        <w:t>Document</w:t>
      </w:r>
      <w:proofErr w:type="spellEnd"/>
      <w:r w:rsidRPr="00CA3A11">
        <w:rPr>
          <w:bCs/>
          <w:spacing w:val="-2"/>
        </w:rPr>
        <w:t xml:space="preserve"> </w:t>
      </w:r>
      <w:proofErr w:type="spellStart"/>
      <w:r w:rsidRPr="00CA3A11">
        <w:rPr>
          <w:bCs/>
          <w:spacing w:val="-2"/>
        </w:rPr>
        <w:t>Format</w:t>
      </w:r>
      <w:proofErr w:type="spellEnd"/>
      <w:r w:rsidRPr="00CA3A11">
        <w:rPr>
          <w:bCs/>
          <w:spacing w:val="-2"/>
        </w:rPr>
        <w:t xml:space="preserve"> (PDF), </w:t>
      </w:r>
      <w:proofErr w:type="spellStart"/>
      <w:r w:rsidRPr="00CA3A11">
        <w:rPr>
          <w:bCs/>
          <w:spacing w:val="-2"/>
        </w:rPr>
        <w:t>Open</w:t>
      </w:r>
      <w:proofErr w:type="spellEnd"/>
      <w:r w:rsidRPr="00CA3A11">
        <w:rPr>
          <w:bCs/>
          <w:spacing w:val="-2"/>
        </w:rPr>
        <w:t xml:space="preserve"> </w:t>
      </w:r>
      <w:proofErr w:type="spellStart"/>
      <w:r w:rsidRPr="00CA3A11">
        <w:rPr>
          <w:bCs/>
          <w:spacing w:val="-2"/>
        </w:rPr>
        <w:t>Document</w:t>
      </w:r>
      <w:proofErr w:type="spellEnd"/>
      <w:r w:rsidRPr="00CA3A11">
        <w:rPr>
          <w:bCs/>
          <w:spacing w:val="-2"/>
        </w:rPr>
        <w:t xml:space="preserve"> </w:t>
      </w:r>
      <w:proofErr w:type="spellStart"/>
      <w:r w:rsidRPr="00CA3A11">
        <w:rPr>
          <w:bCs/>
          <w:spacing w:val="-2"/>
        </w:rPr>
        <w:t>Format</w:t>
      </w:r>
      <w:proofErr w:type="spellEnd"/>
      <w:r w:rsidRPr="00CA3A11">
        <w:rPr>
          <w:bCs/>
          <w:spacing w:val="-2"/>
        </w:rPr>
        <w:t xml:space="preserve"> (ODT)</w:t>
      </w:r>
      <w:r w:rsidRPr="00CA3A11">
        <w:rPr>
          <w:spacing w:val="-2"/>
        </w:rPr>
        <w:t xml:space="preserve">, </w:t>
      </w:r>
      <w:r w:rsidRPr="00CA3A11">
        <w:rPr>
          <w:bCs/>
          <w:spacing w:val="-2"/>
        </w:rPr>
        <w:t xml:space="preserve">Office </w:t>
      </w:r>
      <w:proofErr w:type="spellStart"/>
      <w:r w:rsidRPr="00CA3A11">
        <w:rPr>
          <w:bCs/>
          <w:spacing w:val="-2"/>
        </w:rPr>
        <w:t>Open</w:t>
      </w:r>
      <w:proofErr w:type="spellEnd"/>
      <w:r w:rsidRPr="00CA3A11">
        <w:rPr>
          <w:bCs/>
          <w:spacing w:val="-2"/>
        </w:rPr>
        <w:t xml:space="preserve"> XML (DOCX) a nasledujúce formáty grafických súborov:  </w:t>
      </w:r>
      <w:proofErr w:type="spellStart"/>
      <w:r w:rsidRPr="00CA3A11">
        <w:rPr>
          <w:bCs/>
          <w:spacing w:val="-2"/>
        </w:rPr>
        <w:t>Graphics</w:t>
      </w:r>
      <w:proofErr w:type="spellEnd"/>
      <w:r w:rsidRPr="00CA3A11">
        <w:rPr>
          <w:bCs/>
          <w:spacing w:val="-2"/>
        </w:rPr>
        <w:t xml:space="preserve"> </w:t>
      </w:r>
      <w:proofErr w:type="spellStart"/>
      <w:r w:rsidRPr="00CA3A11">
        <w:rPr>
          <w:bCs/>
          <w:spacing w:val="-2"/>
        </w:rPr>
        <w:t>Interchange</w:t>
      </w:r>
      <w:proofErr w:type="spellEnd"/>
      <w:r w:rsidRPr="00CA3A11">
        <w:rPr>
          <w:bCs/>
          <w:spacing w:val="-2"/>
        </w:rPr>
        <w:t xml:space="preserve"> </w:t>
      </w:r>
      <w:proofErr w:type="spellStart"/>
      <w:r w:rsidRPr="00CA3A11">
        <w:rPr>
          <w:bCs/>
          <w:spacing w:val="-2"/>
        </w:rPr>
        <w:t>Format</w:t>
      </w:r>
      <w:proofErr w:type="spellEnd"/>
      <w:r w:rsidRPr="00CA3A11">
        <w:rPr>
          <w:bCs/>
          <w:spacing w:val="-2"/>
        </w:rPr>
        <w:t xml:space="preserve"> (GIF), </w:t>
      </w:r>
      <w:proofErr w:type="spellStart"/>
      <w:r w:rsidRPr="00CA3A11">
        <w:rPr>
          <w:bCs/>
          <w:spacing w:val="-2"/>
        </w:rPr>
        <w:t>Portable</w:t>
      </w:r>
      <w:proofErr w:type="spellEnd"/>
      <w:r w:rsidRPr="00CA3A11">
        <w:rPr>
          <w:bCs/>
          <w:spacing w:val="-2"/>
        </w:rPr>
        <w:t xml:space="preserve"> </w:t>
      </w:r>
      <w:proofErr w:type="spellStart"/>
      <w:r w:rsidRPr="00CA3A11">
        <w:rPr>
          <w:bCs/>
          <w:spacing w:val="-2"/>
        </w:rPr>
        <w:t>Network</w:t>
      </w:r>
      <w:proofErr w:type="spellEnd"/>
      <w:r w:rsidRPr="00CA3A11">
        <w:rPr>
          <w:bCs/>
          <w:spacing w:val="-2"/>
        </w:rPr>
        <w:t xml:space="preserve"> </w:t>
      </w:r>
      <w:proofErr w:type="spellStart"/>
      <w:r w:rsidRPr="00CA3A11">
        <w:rPr>
          <w:bCs/>
          <w:spacing w:val="-2"/>
        </w:rPr>
        <w:t>Graphics</w:t>
      </w:r>
      <w:proofErr w:type="spellEnd"/>
      <w:r w:rsidRPr="00CA3A11">
        <w:rPr>
          <w:bCs/>
          <w:spacing w:val="-2"/>
        </w:rPr>
        <w:t xml:space="preserve"> (PNG), </w:t>
      </w:r>
      <w:proofErr w:type="spellStart"/>
      <w:r w:rsidRPr="00CA3A11">
        <w:rPr>
          <w:bCs/>
          <w:spacing w:val="-2"/>
        </w:rPr>
        <w:t>Joint</w:t>
      </w:r>
      <w:proofErr w:type="spellEnd"/>
      <w:r w:rsidRPr="00CA3A11">
        <w:rPr>
          <w:bCs/>
          <w:spacing w:val="-2"/>
        </w:rPr>
        <w:t xml:space="preserve"> </w:t>
      </w:r>
      <w:proofErr w:type="spellStart"/>
      <w:r w:rsidRPr="00CA3A11">
        <w:rPr>
          <w:bCs/>
          <w:spacing w:val="-2"/>
        </w:rPr>
        <w:t>Photographic</w:t>
      </w:r>
      <w:proofErr w:type="spellEnd"/>
      <w:r w:rsidRPr="00CA3A11">
        <w:rPr>
          <w:bCs/>
          <w:spacing w:val="-2"/>
        </w:rPr>
        <w:t xml:space="preserve"> </w:t>
      </w:r>
      <w:proofErr w:type="spellStart"/>
      <w:r w:rsidRPr="00CA3A11">
        <w:rPr>
          <w:bCs/>
          <w:spacing w:val="-2"/>
        </w:rPr>
        <w:t>Experts</w:t>
      </w:r>
      <w:proofErr w:type="spellEnd"/>
      <w:r w:rsidRPr="00CA3A11">
        <w:rPr>
          <w:bCs/>
          <w:spacing w:val="-2"/>
        </w:rPr>
        <w:t xml:space="preserve"> Group (JPG, JPEG), </w:t>
      </w:r>
      <w:proofErr w:type="spellStart"/>
      <w:r w:rsidRPr="00CA3A11">
        <w:rPr>
          <w:bCs/>
          <w:spacing w:val="-2"/>
        </w:rPr>
        <w:t>Tagged</w:t>
      </w:r>
      <w:proofErr w:type="spellEnd"/>
      <w:r w:rsidRPr="00CA3A11">
        <w:rPr>
          <w:bCs/>
          <w:spacing w:val="-2"/>
        </w:rPr>
        <w:t xml:space="preserve"> Image </w:t>
      </w:r>
      <w:proofErr w:type="spellStart"/>
      <w:r w:rsidRPr="00CA3A11">
        <w:rPr>
          <w:bCs/>
          <w:spacing w:val="-2"/>
        </w:rPr>
        <w:t>File</w:t>
      </w:r>
      <w:proofErr w:type="spellEnd"/>
      <w:r w:rsidRPr="00CA3A11">
        <w:rPr>
          <w:bCs/>
          <w:spacing w:val="-2"/>
        </w:rPr>
        <w:t xml:space="preserve"> </w:t>
      </w:r>
      <w:proofErr w:type="spellStart"/>
      <w:r w:rsidRPr="00CA3A11">
        <w:rPr>
          <w:bCs/>
          <w:spacing w:val="-2"/>
        </w:rPr>
        <w:t>Format</w:t>
      </w:r>
      <w:proofErr w:type="spellEnd"/>
      <w:r w:rsidRPr="00CA3A11">
        <w:rPr>
          <w:bCs/>
          <w:spacing w:val="-2"/>
        </w:rPr>
        <w:t xml:space="preserve"> (TIF, TIFF). Fond odporúča, aby žiadatelia prikladali prílohy k žiadostiam vo formáte </w:t>
      </w:r>
      <w:proofErr w:type="spellStart"/>
      <w:r w:rsidRPr="00CA3A11">
        <w:rPr>
          <w:bCs/>
          <w:spacing w:val="-2"/>
        </w:rPr>
        <w:t>Portable</w:t>
      </w:r>
      <w:proofErr w:type="spellEnd"/>
      <w:r w:rsidRPr="00CA3A11">
        <w:rPr>
          <w:bCs/>
          <w:spacing w:val="-2"/>
        </w:rPr>
        <w:t xml:space="preserve"> </w:t>
      </w:r>
      <w:proofErr w:type="spellStart"/>
      <w:r w:rsidRPr="00CA3A11">
        <w:rPr>
          <w:bCs/>
          <w:spacing w:val="-2"/>
        </w:rPr>
        <w:t>Document</w:t>
      </w:r>
      <w:proofErr w:type="spellEnd"/>
      <w:r w:rsidRPr="00CA3A11">
        <w:rPr>
          <w:bCs/>
          <w:spacing w:val="-2"/>
        </w:rPr>
        <w:t xml:space="preserve"> </w:t>
      </w:r>
      <w:proofErr w:type="spellStart"/>
      <w:r w:rsidRPr="00CA3A11">
        <w:rPr>
          <w:bCs/>
          <w:spacing w:val="-2"/>
        </w:rPr>
        <w:t>Format</w:t>
      </w:r>
      <w:proofErr w:type="spellEnd"/>
      <w:r w:rsidRPr="00CA3A11">
        <w:rPr>
          <w:bCs/>
          <w:spacing w:val="-2"/>
        </w:rPr>
        <w:t xml:space="preserve"> (PDF).</w:t>
      </w:r>
    </w:p>
    <w:p w:rsidR="00B83C92" w:rsidRPr="00CA3A11" w:rsidRDefault="00B83C92" w:rsidP="00B83C92">
      <w:pPr>
        <w:spacing w:after="120"/>
        <w:jc w:val="both"/>
        <w:rPr>
          <w:bCs/>
          <w:spacing w:val="-2"/>
        </w:rPr>
      </w:pPr>
      <w:r w:rsidRPr="00CA3A11">
        <w:rPr>
          <w:bCs/>
          <w:spacing w:val="-2"/>
        </w:rPr>
        <w:t xml:space="preserve">V prípade potreby a podľa časových možností poskytuje kancelária žiadateľom konzultácie k podaniu žiadosti predovšetkým telefonicky alebo prostredníctvom elektronickej pošty v pracovných dňoch v úradných hodinách, ktoré </w:t>
      </w:r>
      <w:r>
        <w:rPr>
          <w:bCs/>
          <w:spacing w:val="-2"/>
        </w:rPr>
        <w:t>s</w:t>
      </w:r>
      <w:r w:rsidRPr="00CA3A11">
        <w:rPr>
          <w:bCs/>
          <w:spacing w:val="-2"/>
        </w:rPr>
        <w:t>ú zverejnené na webovom sídle fondu. V odôvodnených prípadoch poskytuje kancelária aj osobné konzultácie, ktoré si možno dohodnúť elektronickou poštou alebo telefonicky na číslach uvedených na webovom sídle fondu. Predmetom konzultácie je najmä vysvetlenie vnútorných predpisov fondu súvisiacich s predkladaním žiadostí, s ich hodnotením a s poskytovaním finančných prostriedkov fondu. Konzultácie nie sú určené na zostavovanie a kontrolu rozpočtu k žiadosti, editovanie žiadosti v registračnom systéme fondu, kontrolu údaj</w:t>
      </w:r>
      <w:r>
        <w:rPr>
          <w:bCs/>
          <w:spacing w:val="-2"/>
        </w:rPr>
        <w:t xml:space="preserve">ov v žiadosti pred jej podaním, </w:t>
      </w:r>
      <w:r w:rsidRPr="00CA3A11">
        <w:rPr>
          <w:bCs/>
          <w:spacing w:val="-2"/>
        </w:rPr>
        <w:t xml:space="preserve">ani na predbežnú kontrolu úplnosti žiadosti a jej príloh pred podaním žiadosti. Kontrolu správnosti údajov uvedených </w:t>
      </w:r>
      <w:r>
        <w:rPr>
          <w:bCs/>
          <w:spacing w:val="-2"/>
        </w:rPr>
        <w:t xml:space="preserve">v </w:t>
      </w:r>
      <w:r w:rsidRPr="00CA3A11">
        <w:rPr>
          <w:bCs/>
          <w:spacing w:val="-2"/>
        </w:rPr>
        <w:t>žiadosti a úplnosti jej príloh vykonáva kancelária až po doručení žiadosti. Kancelária si vyhradzuje právo neposkytnúť konzultáciu z časových alebo priestorových dôvodov, alebo ak žiadateľ požaduje poskytnutie informácií, ktoré nie sú predmetom konzultácie.</w:t>
      </w:r>
    </w:p>
    <w:p w:rsidR="00B83C92" w:rsidRPr="00B819C1" w:rsidRDefault="00B83C92" w:rsidP="00B83C92">
      <w:pPr>
        <w:spacing w:after="0"/>
        <w:jc w:val="both"/>
        <w:rPr>
          <w:bCs/>
          <w:sz w:val="16"/>
          <w:szCs w:val="16"/>
        </w:rPr>
      </w:pPr>
    </w:p>
    <w:p w:rsidR="00B83C92" w:rsidRPr="00CA3A11" w:rsidRDefault="00B83C92" w:rsidP="00B83C92">
      <w:pPr>
        <w:spacing w:after="0"/>
        <w:jc w:val="both"/>
        <w:rPr>
          <w:bCs/>
        </w:rPr>
      </w:pPr>
      <w:r>
        <w:rPr>
          <w:bCs/>
        </w:rPr>
        <w:t xml:space="preserve">Bratislava, </w:t>
      </w:r>
      <w:r w:rsidR="0017298C">
        <w:rPr>
          <w:bCs/>
        </w:rPr>
        <w:t>25</w:t>
      </w:r>
      <w:r>
        <w:rPr>
          <w:bCs/>
        </w:rPr>
        <w:t>.</w:t>
      </w:r>
      <w:r w:rsidR="0081753B">
        <w:rPr>
          <w:bCs/>
        </w:rPr>
        <w:t>02</w:t>
      </w:r>
      <w:r w:rsidRPr="00CA3A11">
        <w:rPr>
          <w:bCs/>
        </w:rPr>
        <w:t>.201</w:t>
      </w:r>
      <w:r w:rsidR="0081753B">
        <w:rPr>
          <w:bCs/>
        </w:rPr>
        <w:t>9</w:t>
      </w:r>
      <w:r w:rsidRPr="00CA3A11">
        <w:rPr>
          <w:bCs/>
        </w:rPr>
        <w:tab/>
      </w:r>
      <w:r w:rsidRPr="00CA3A11">
        <w:rPr>
          <w:bCs/>
        </w:rPr>
        <w:tab/>
      </w:r>
      <w:r w:rsidRPr="00CA3A11">
        <w:rPr>
          <w:bCs/>
        </w:rPr>
        <w:tab/>
      </w:r>
      <w:r w:rsidRPr="00CA3A11">
        <w:rPr>
          <w:bCs/>
        </w:rPr>
        <w:tab/>
      </w:r>
      <w:r w:rsidRPr="00CA3A11">
        <w:rPr>
          <w:bCs/>
        </w:rPr>
        <w:tab/>
      </w:r>
      <w:r w:rsidRPr="00CA3A11">
        <w:rPr>
          <w:bCs/>
        </w:rPr>
        <w:tab/>
      </w:r>
      <w:r w:rsidRPr="00CA3A11">
        <w:rPr>
          <w:bCs/>
        </w:rPr>
        <w:tab/>
      </w:r>
      <w:r w:rsidRPr="00CA3A11">
        <w:rPr>
          <w:bCs/>
        </w:rPr>
        <w:tab/>
      </w:r>
      <w:r w:rsidRPr="00CA3A11">
        <w:rPr>
          <w:bCs/>
        </w:rPr>
        <w:tab/>
      </w:r>
      <w:r w:rsidRPr="00CA3A11">
        <w:rPr>
          <w:bCs/>
        </w:rPr>
        <w:tab/>
      </w:r>
      <w:r w:rsidRPr="00CA3A11">
        <w:rPr>
          <w:bCs/>
        </w:rPr>
        <w:tab/>
      </w:r>
      <w:r w:rsidRPr="00CA3A11">
        <w:rPr>
          <w:bCs/>
        </w:rPr>
        <w:tab/>
      </w:r>
      <w:r w:rsidRPr="00CA3A11">
        <w:rPr>
          <w:bCs/>
        </w:rPr>
        <w:tab/>
        <w:t>Mgr. Jozef Kovalčik, PhD.</w:t>
      </w:r>
    </w:p>
    <w:p w:rsidR="00B83C92" w:rsidRPr="00B819C1" w:rsidRDefault="00B83C92" w:rsidP="00B83C92">
      <w:pPr>
        <w:spacing w:after="0"/>
        <w:jc w:val="both"/>
        <w:rPr>
          <w:bCs/>
        </w:rPr>
      </w:pPr>
      <w:r w:rsidRPr="00CA3A11">
        <w:rPr>
          <w:bCs/>
        </w:rPr>
        <w:tab/>
      </w:r>
      <w:r w:rsidRPr="00CA3A11">
        <w:rPr>
          <w:bCs/>
        </w:rPr>
        <w:tab/>
      </w:r>
      <w:r w:rsidRPr="00CA3A11">
        <w:rPr>
          <w:bCs/>
        </w:rPr>
        <w:tab/>
      </w:r>
      <w:r w:rsidRPr="00CA3A11">
        <w:rPr>
          <w:bCs/>
        </w:rPr>
        <w:tab/>
      </w:r>
      <w:r w:rsidRPr="00CA3A11">
        <w:rPr>
          <w:bCs/>
        </w:rPr>
        <w:tab/>
      </w:r>
      <w:r w:rsidRPr="00CA3A11">
        <w:rPr>
          <w:bCs/>
        </w:rPr>
        <w:tab/>
      </w:r>
      <w:r w:rsidRPr="00CA3A11">
        <w:rPr>
          <w:bCs/>
        </w:rPr>
        <w:tab/>
      </w:r>
      <w:r w:rsidRPr="00CA3A11">
        <w:rPr>
          <w:bCs/>
        </w:rPr>
        <w:tab/>
      </w:r>
      <w:r w:rsidRPr="00CA3A11">
        <w:rPr>
          <w:bCs/>
        </w:rPr>
        <w:tab/>
      </w:r>
      <w:r w:rsidRPr="00CA3A11">
        <w:rPr>
          <w:bCs/>
        </w:rPr>
        <w:tab/>
      </w:r>
      <w:r w:rsidRPr="00CA3A11">
        <w:rPr>
          <w:bCs/>
        </w:rPr>
        <w:tab/>
      </w:r>
      <w:r w:rsidRPr="00CA3A11">
        <w:rPr>
          <w:bCs/>
        </w:rPr>
        <w:tab/>
      </w:r>
      <w:r w:rsidRPr="00CA3A11">
        <w:rPr>
          <w:bCs/>
        </w:rPr>
        <w:tab/>
      </w:r>
      <w:r w:rsidRPr="00CA3A11">
        <w:rPr>
          <w:bCs/>
        </w:rPr>
        <w:tab/>
      </w:r>
      <w:r w:rsidRPr="00CA3A11">
        <w:rPr>
          <w:bCs/>
        </w:rPr>
        <w:tab/>
        <w:t>riaditeľ Fondu na podporu umenia</w:t>
      </w:r>
    </w:p>
    <w:p w:rsidR="00B83C92" w:rsidRPr="009F78B3" w:rsidRDefault="00B83C92" w:rsidP="00B83C92">
      <w:pPr>
        <w:spacing w:after="120"/>
        <w:jc w:val="both"/>
        <w:rPr>
          <w:rFonts w:ascii="Calibri" w:eastAsia="Calibri" w:hAnsi="Calibri" w:cs="Times New Roman"/>
          <w:bCs/>
          <w:spacing w:val="-2"/>
        </w:rPr>
      </w:pPr>
    </w:p>
    <w:p w:rsidR="00A21E7E" w:rsidRPr="00B819C1" w:rsidRDefault="00A21E7E" w:rsidP="00B83C92">
      <w:pPr>
        <w:spacing w:after="0"/>
        <w:jc w:val="both"/>
        <w:rPr>
          <w:bCs/>
        </w:rPr>
      </w:pPr>
    </w:p>
    <w:sectPr w:rsidR="00A21E7E" w:rsidRPr="00B819C1" w:rsidSect="001E5BBB">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838" w:rsidRDefault="00A97838" w:rsidP="001F32A9">
      <w:pPr>
        <w:spacing w:after="0" w:line="240" w:lineRule="auto"/>
      </w:pPr>
      <w:r>
        <w:separator/>
      </w:r>
    </w:p>
  </w:endnote>
  <w:endnote w:type="continuationSeparator" w:id="0">
    <w:p w:rsidR="00A97838" w:rsidRDefault="00A97838" w:rsidP="001F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779371"/>
      <w:docPartObj>
        <w:docPartGallery w:val="Page Numbers (Bottom of Page)"/>
        <w:docPartUnique/>
      </w:docPartObj>
    </w:sdtPr>
    <w:sdtEndPr/>
    <w:sdtContent>
      <w:p w:rsidR="001F32A9" w:rsidRDefault="001F32A9">
        <w:pPr>
          <w:pStyle w:val="Pta"/>
          <w:jc w:val="center"/>
        </w:pPr>
        <w:r>
          <w:fldChar w:fldCharType="begin"/>
        </w:r>
        <w:r>
          <w:instrText>PAGE   \* MERGEFORMAT</w:instrText>
        </w:r>
        <w:r>
          <w:fldChar w:fldCharType="separate"/>
        </w:r>
        <w:r w:rsidR="006111E7">
          <w:rPr>
            <w:noProof/>
          </w:rPr>
          <w:t>1</w:t>
        </w:r>
        <w:r>
          <w:fldChar w:fldCharType="end"/>
        </w:r>
        <w:r>
          <w:t xml:space="preserve"> / 2</w:t>
        </w:r>
      </w:p>
    </w:sdtContent>
  </w:sdt>
  <w:p w:rsidR="001F32A9" w:rsidRDefault="001F32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838" w:rsidRDefault="00A97838" w:rsidP="001F32A9">
      <w:pPr>
        <w:spacing w:after="0" w:line="240" w:lineRule="auto"/>
      </w:pPr>
      <w:r>
        <w:separator/>
      </w:r>
    </w:p>
  </w:footnote>
  <w:footnote w:type="continuationSeparator" w:id="0">
    <w:p w:rsidR="00A97838" w:rsidRDefault="00A97838" w:rsidP="001F3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44544"/>
    <w:multiLevelType w:val="hybridMultilevel"/>
    <w:tmpl w:val="0390F19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B6"/>
    <w:rsid w:val="0001502B"/>
    <w:rsid w:val="00020053"/>
    <w:rsid w:val="00027835"/>
    <w:rsid w:val="0005354E"/>
    <w:rsid w:val="000541C2"/>
    <w:rsid w:val="000720C2"/>
    <w:rsid w:val="000B0A95"/>
    <w:rsid w:val="000C3C0C"/>
    <w:rsid w:val="000D46EB"/>
    <w:rsid w:val="001032A5"/>
    <w:rsid w:val="00140DD8"/>
    <w:rsid w:val="0017298C"/>
    <w:rsid w:val="001B6550"/>
    <w:rsid w:val="001D5526"/>
    <w:rsid w:val="001E5BBB"/>
    <w:rsid w:val="001F32A9"/>
    <w:rsid w:val="002F645D"/>
    <w:rsid w:val="0030033C"/>
    <w:rsid w:val="00335E8C"/>
    <w:rsid w:val="00355DAE"/>
    <w:rsid w:val="003A1710"/>
    <w:rsid w:val="003C1159"/>
    <w:rsid w:val="003C50DA"/>
    <w:rsid w:val="0042204E"/>
    <w:rsid w:val="004322D6"/>
    <w:rsid w:val="00452F4B"/>
    <w:rsid w:val="004714EA"/>
    <w:rsid w:val="00484DEC"/>
    <w:rsid w:val="004973CB"/>
    <w:rsid w:val="004A783D"/>
    <w:rsid w:val="004B1C55"/>
    <w:rsid w:val="004B42A6"/>
    <w:rsid w:val="004C422A"/>
    <w:rsid w:val="004F662F"/>
    <w:rsid w:val="00511EC5"/>
    <w:rsid w:val="00521A84"/>
    <w:rsid w:val="0054120D"/>
    <w:rsid w:val="005549EE"/>
    <w:rsid w:val="00561E07"/>
    <w:rsid w:val="005868BA"/>
    <w:rsid w:val="005B4BDE"/>
    <w:rsid w:val="005D5549"/>
    <w:rsid w:val="005E1B4A"/>
    <w:rsid w:val="005F4807"/>
    <w:rsid w:val="00603ED5"/>
    <w:rsid w:val="00606175"/>
    <w:rsid w:val="006111E7"/>
    <w:rsid w:val="00622363"/>
    <w:rsid w:val="00622BE8"/>
    <w:rsid w:val="00687569"/>
    <w:rsid w:val="006A4597"/>
    <w:rsid w:val="006B7E8C"/>
    <w:rsid w:val="006C636A"/>
    <w:rsid w:val="006F3D5F"/>
    <w:rsid w:val="006F7687"/>
    <w:rsid w:val="007005FB"/>
    <w:rsid w:val="00713150"/>
    <w:rsid w:val="00731FF5"/>
    <w:rsid w:val="007549C0"/>
    <w:rsid w:val="00780CAC"/>
    <w:rsid w:val="0079503A"/>
    <w:rsid w:val="007C185E"/>
    <w:rsid w:val="0081753B"/>
    <w:rsid w:val="0084294D"/>
    <w:rsid w:val="00852873"/>
    <w:rsid w:val="00893A42"/>
    <w:rsid w:val="008C6558"/>
    <w:rsid w:val="008F2FBF"/>
    <w:rsid w:val="00936BF4"/>
    <w:rsid w:val="009424D5"/>
    <w:rsid w:val="00963584"/>
    <w:rsid w:val="00980298"/>
    <w:rsid w:val="009C1C7A"/>
    <w:rsid w:val="009F28FA"/>
    <w:rsid w:val="009F7443"/>
    <w:rsid w:val="00A21E7E"/>
    <w:rsid w:val="00A3298E"/>
    <w:rsid w:val="00A720B6"/>
    <w:rsid w:val="00A7563D"/>
    <w:rsid w:val="00A86BDB"/>
    <w:rsid w:val="00A94802"/>
    <w:rsid w:val="00A97838"/>
    <w:rsid w:val="00AD66D9"/>
    <w:rsid w:val="00AF5693"/>
    <w:rsid w:val="00B61417"/>
    <w:rsid w:val="00B819C1"/>
    <w:rsid w:val="00B83C92"/>
    <w:rsid w:val="00B97C40"/>
    <w:rsid w:val="00BA5DC9"/>
    <w:rsid w:val="00BB70A2"/>
    <w:rsid w:val="00BB791D"/>
    <w:rsid w:val="00BF754B"/>
    <w:rsid w:val="00C040E7"/>
    <w:rsid w:val="00C14AE1"/>
    <w:rsid w:val="00C4082A"/>
    <w:rsid w:val="00C621CA"/>
    <w:rsid w:val="00CA3A11"/>
    <w:rsid w:val="00CA7436"/>
    <w:rsid w:val="00CB0075"/>
    <w:rsid w:val="00CD48A3"/>
    <w:rsid w:val="00CD7C48"/>
    <w:rsid w:val="00D314A7"/>
    <w:rsid w:val="00D75340"/>
    <w:rsid w:val="00D83254"/>
    <w:rsid w:val="00D86F6E"/>
    <w:rsid w:val="00DD0FA0"/>
    <w:rsid w:val="00DF5B96"/>
    <w:rsid w:val="00E341F6"/>
    <w:rsid w:val="00E462C5"/>
    <w:rsid w:val="00EC17B6"/>
    <w:rsid w:val="00EE7B0A"/>
    <w:rsid w:val="00F019DD"/>
    <w:rsid w:val="00F254DA"/>
    <w:rsid w:val="00F808DF"/>
    <w:rsid w:val="00F90903"/>
    <w:rsid w:val="00FA389F"/>
    <w:rsid w:val="00FB3D9B"/>
    <w:rsid w:val="00FF45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15E3"/>
  <w15:docId w15:val="{1B1449B3-A2BC-477E-88CF-4CDC101C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720B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A72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8">
    <w:name w:val="Mriežka tabuľky8"/>
    <w:basedOn w:val="Normlnatabuka"/>
    <w:next w:val="Mriekatabuky"/>
    <w:uiPriority w:val="59"/>
    <w:rsid w:val="00A72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A72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335E8C"/>
    <w:pPr>
      <w:spacing w:before="100" w:beforeAutospacing="1" w:after="100" w:afterAutospacing="1" w:line="240" w:lineRule="auto"/>
    </w:pPr>
    <w:rPr>
      <w:rFonts w:ascii="Times New Roman" w:eastAsia="Calibri" w:hAnsi="Times New Roman" w:cs="Times New Roman"/>
      <w:color w:val="000000"/>
      <w:sz w:val="24"/>
      <w:szCs w:val="24"/>
      <w:lang w:eastAsia="sk-SK"/>
    </w:rPr>
  </w:style>
  <w:style w:type="paragraph" w:styleId="Hlavika">
    <w:name w:val="header"/>
    <w:basedOn w:val="Normlny"/>
    <w:link w:val="HlavikaChar"/>
    <w:uiPriority w:val="99"/>
    <w:unhideWhenUsed/>
    <w:rsid w:val="001F32A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32A9"/>
  </w:style>
  <w:style w:type="paragraph" w:styleId="Pta">
    <w:name w:val="footer"/>
    <w:basedOn w:val="Normlny"/>
    <w:link w:val="PtaChar"/>
    <w:uiPriority w:val="99"/>
    <w:unhideWhenUsed/>
    <w:rsid w:val="001F32A9"/>
    <w:pPr>
      <w:tabs>
        <w:tab w:val="center" w:pos="4536"/>
        <w:tab w:val="right" w:pos="9072"/>
      </w:tabs>
      <w:spacing w:after="0" w:line="240" w:lineRule="auto"/>
    </w:pPr>
  </w:style>
  <w:style w:type="character" w:customStyle="1" w:styleId="PtaChar">
    <w:name w:val="Päta Char"/>
    <w:basedOn w:val="Predvolenpsmoodseku"/>
    <w:link w:val="Pta"/>
    <w:uiPriority w:val="99"/>
    <w:rsid w:val="001F32A9"/>
  </w:style>
  <w:style w:type="paragraph" w:styleId="Textbubliny">
    <w:name w:val="Balloon Text"/>
    <w:basedOn w:val="Normlny"/>
    <w:link w:val="TextbublinyChar"/>
    <w:uiPriority w:val="99"/>
    <w:semiHidden/>
    <w:unhideWhenUsed/>
    <w:rsid w:val="00622B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2BE8"/>
    <w:rPr>
      <w:rFonts w:ascii="Segoe UI" w:hAnsi="Segoe UI" w:cs="Segoe UI"/>
      <w:sz w:val="18"/>
      <w:szCs w:val="18"/>
    </w:rPr>
  </w:style>
  <w:style w:type="character" w:styleId="Hypertextovprepojenie">
    <w:name w:val="Hyperlink"/>
    <w:basedOn w:val="Predvolenpsmoodseku"/>
    <w:uiPriority w:val="99"/>
    <w:unhideWhenUsed/>
    <w:rsid w:val="0001502B"/>
    <w:rPr>
      <w:color w:val="0000FF" w:themeColor="hyperlink"/>
      <w:u w:val="single"/>
    </w:rPr>
  </w:style>
  <w:style w:type="character" w:styleId="Nevyrieenzmienka">
    <w:name w:val="Unresolved Mention"/>
    <w:basedOn w:val="Predvolenpsmoodseku"/>
    <w:uiPriority w:val="99"/>
    <w:semiHidden/>
    <w:unhideWhenUsed/>
    <w:rsid w:val="00B83C92"/>
    <w:rPr>
      <w:color w:val="605E5C"/>
      <w:shd w:val="clear" w:color="auto" w:fill="E1DFDD"/>
    </w:rPr>
  </w:style>
  <w:style w:type="paragraph" w:styleId="Odsekzoznamu">
    <w:name w:val="List Paragraph"/>
    <w:basedOn w:val="Normlny"/>
    <w:uiPriority w:val="34"/>
    <w:qFormat/>
    <w:rsid w:val="00B83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28837">
      <w:bodyDiv w:val="1"/>
      <w:marLeft w:val="0"/>
      <w:marRight w:val="0"/>
      <w:marTop w:val="0"/>
      <w:marBottom w:val="0"/>
      <w:divBdr>
        <w:top w:val="none" w:sz="0" w:space="0" w:color="auto"/>
        <w:left w:val="none" w:sz="0" w:space="0" w:color="auto"/>
        <w:bottom w:val="none" w:sz="0" w:space="0" w:color="auto"/>
        <w:right w:val="none" w:sz="0" w:space="0" w:color="auto"/>
      </w:divBdr>
    </w:div>
    <w:div w:id="21077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u.sk/attachments/article/85/FPU_%C5%BDiadatelia_Pokyny%20k%20podaniu%20elektr%20ziadosti_102017.pdf" TargetMode="External"/><Relationship Id="rId3" Type="http://schemas.openxmlformats.org/officeDocument/2006/relationships/settings" Target="settings.xml"/><Relationship Id="rId7" Type="http://schemas.openxmlformats.org/officeDocument/2006/relationships/hyperlink" Target="http://fpu.sk/dokumenty-fpu/dokumen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pu.sk/attachments/article/84/Zasady%20poskytovania%20prostriedkov_13092018_DEF.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3872</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Fond na podporu umenia</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 na podporu umenia</dc:creator>
  <cp:lastModifiedBy>Jozef Kovalčik</cp:lastModifiedBy>
  <cp:revision>4</cp:revision>
  <cp:lastPrinted>2016-10-07T14:21:00Z</cp:lastPrinted>
  <dcterms:created xsi:type="dcterms:W3CDTF">2019-02-19T14:17:00Z</dcterms:created>
  <dcterms:modified xsi:type="dcterms:W3CDTF">2019-02-19T14:20:00Z</dcterms:modified>
</cp:coreProperties>
</file>